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5" w:rsidRDefault="00A83535" w:rsidP="00A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процедур, осуществляемых Департаментом по надзору за безопасным ведением работ в промышленности МЧС (Госпромнадзор) в отношении юридических лиц и индивидуальных предпринимателей</w:t>
      </w:r>
    </w:p>
    <w:p w:rsidR="00A83535" w:rsidRDefault="00A83535" w:rsidP="00A83535">
      <w:pPr>
        <w:pStyle w:val="1"/>
        <w:spacing w:before="0" w:after="0"/>
        <w:ind w:right="-31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(согласно постановлению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Беларусь»)</w:t>
      </w:r>
      <w:proofErr w:type="gramEnd"/>
    </w:p>
    <w:p w:rsidR="00A83535" w:rsidRDefault="00A83535" w:rsidP="00A83535">
      <w:pPr>
        <w:pStyle w:val="1"/>
        <w:spacing w:before="0" w:after="0"/>
        <w:ind w:right="-31"/>
        <w:jc w:val="center"/>
        <w:rPr>
          <w:b w:val="0"/>
          <w:sz w:val="24"/>
          <w:szCs w:val="24"/>
        </w:rPr>
      </w:pPr>
    </w:p>
    <w:tbl>
      <w:tblPr>
        <w:tblW w:w="4624" w:type="pct"/>
        <w:tblLook w:val="04A0" w:firstRow="1" w:lastRow="0" w:firstColumn="1" w:lastColumn="0" w:noHBand="0" w:noVBand="1"/>
      </w:tblPr>
      <w:tblGrid>
        <w:gridCol w:w="2136"/>
        <w:gridCol w:w="2539"/>
        <w:gridCol w:w="2703"/>
        <w:gridCol w:w="2125"/>
        <w:gridCol w:w="2976"/>
        <w:gridCol w:w="1898"/>
      </w:tblGrid>
      <w:tr w:rsidR="00A83535" w:rsidTr="00C253A0">
        <w:trPr>
          <w:trHeight w:val="240"/>
        </w:trPr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3535" w:rsidRDefault="00A83535" w:rsidP="00E71254">
            <w:pPr>
              <w:pStyle w:val="table10"/>
              <w:spacing w:line="276" w:lineRule="auto"/>
              <w:ind w:right="1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3535" w:rsidRDefault="00A8353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3535" w:rsidRDefault="00A8353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3535" w:rsidRDefault="00A8353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3535" w:rsidRDefault="00A8353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83535" w:rsidRDefault="00A8353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</w:tr>
      <w:tr w:rsidR="00A83535" w:rsidTr="00A83535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535" w:rsidRDefault="00A835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3</w:t>
            </w:r>
            <w:r>
              <w:rPr>
                <w:rFonts w:ascii="Times New Roman" w:hAnsi="Times New Roman" w:cs="Times New Roman"/>
              </w:rPr>
              <w:br/>
              <w:t>АРХИТЕКТУРА, ГРАДОСТРОИТЕЛЬСТВО И СТРОИТЕЛЬСТВО</w:t>
            </w:r>
          </w:p>
        </w:tc>
      </w:tr>
    </w:tbl>
    <w:tbl>
      <w:tblPr>
        <w:tblStyle w:val="tablencpi"/>
        <w:tblW w:w="5218" w:type="pct"/>
        <w:tblLook w:val="04A0" w:firstRow="1" w:lastRow="0" w:firstColumn="1" w:lastColumn="0" w:noHBand="0" w:noVBand="1"/>
      </w:tblPr>
      <w:tblGrid>
        <w:gridCol w:w="2291"/>
        <w:gridCol w:w="2391"/>
        <w:gridCol w:w="2836"/>
        <w:gridCol w:w="1989"/>
        <w:gridCol w:w="2836"/>
        <w:gridCol w:w="3881"/>
      </w:tblGrid>
      <w:tr w:rsidR="00040629" w:rsidTr="00C253A0">
        <w:trPr>
          <w:trHeight w:val="240"/>
        </w:trPr>
        <w:tc>
          <w:tcPr>
            <w:tcW w:w="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629" w:rsidRDefault="00040629" w:rsidP="00C111EB">
            <w:pPr>
              <w:pStyle w:val="table10"/>
              <w:spacing w:before="120"/>
              <w:ind w:right="158"/>
            </w:pPr>
            <w:r>
              <w:t>3.11. Выдача заключения экспертизы промышленной безопасности в отношении опасного производственного объекта,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декларации промышленной безопасности, проектной документации</w:t>
            </w:r>
          </w:p>
        </w:tc>
        <w:tc>
          <w:tcPr>
            <w:tcW w:w="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629" w:rsidRDefault="00040629" w:rsidP="00E71254">
            <w:pPr>
              <w:pStyle w:val="table10"/>
              <w:spacing w:before="120"/>
              <w:ind w:right="134"/>
            </w:pPr>
            <w:proofErr w:type="gramStart"/>
            <w:r>
              <w:t>Департамент по надзору за безопасным ведением работ в промышленности МЧС (далее – Госпромнадзор)</w:t>
            </w:r>
            <w:r>
              <w:br/>
            </w:r>
            <w:r>
              <w:br/>
              <w:t>управление государственного надзора главной военной инспекции Вооруженных Сил – в отношении объектов экспертизы промышленной безопасности, принадлежащих Вооруженным Силам и транспортным войскам</w:t>
            </w:r>
            <w:r>
              <w:br/>
            </w:r>
            <w:r>
              <w:br/>
              <w:t xml:space="preserve">МВД – в отношении объектов экспертизы промышленной безопасности, принадлежащих органам внутренних дел и </w:t>
            </w:r>
            <w:r>
              <w:lastRenderedPageBreak/>
              <w:t>внутренним войскам МВД</w:t>
            </w:r>
            <w:r>
              <w:br/>
            </w:r>
            <w:r>
              <w:br/>
              <w:t>КГБ – в отношении объектов экспертизы промышленной безопасности, принадлежащих органам государственной безопасности</w:t>
            </w:r>
            <w:r>
              <w:br/>
            </w:r>
            <w:r>
              <w:br/>
            </w:r>
            <w:proofErr w:type="spellStart"/>
            <w:r>
              <w:t>Госпогранкомитет</w:t>
            </w:r>
            <w:proofErr w:type="spellEnd"/>
            <w:r>
              <w:t> – в</w:t>
            </w:r>
            <w:proofErr w:type="gramEnd"/>
            <w:r>
              <w:t xml:space="preserve"> </w:t>
            </w:r>
            <w:proofErr w:type="gramStart"/>
            <w:r>
              <w:t>отношении объектов экспертизы промышленной безопасности, принадлежащих органам пограничной службы</w:t>
            </w:r>
            <w:r>
              <w:br/>
            </w:r>
            <w:r>
              <w:br/>
              <w:t>Государственный комитет судебных экспертиз – в отношении объектов экспертизы промышленной безопасности, принадлежащих Государственному комитету судебных экспертиз</w:t>
            </w:r>
            <w:r>
              <w:br/>
            </w:r>
            <w:r>
              <w:br/>
              <w:t>организация, имеющая разрешение на право проведения экспертизы промышленной безопасности, выданное Госпромнадзором</w:t>
            </w:r>
            <w:proofErr w:type="gramEnd"/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629" w:rsidRDefault="00040629" w:rsidP="00E71254">
            <w:pPr>
              <w:pStyle w:val="table10"/>
              <w:spacing w:before="120"/>
              <w:ind w:left="144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>копия акта экспертизы</w:t>
            </w:r>
            <w:r>
              <w:br/>
            </w:r>
            <w:r>
              <w:br/>
              <w:t>декларация промышленной безопасности – в случае выдачи заключения экспертизы промышленной безопасности в отношении декларации промышленной безопасности</w:t>
            </w:r>
            <w:r>
              <w:br/>
            </w:r>
            <w:r>
              <w:br/>
              <w:t xml:space="preserve">проектная документация, в том числе на разработку месторождений полезных ископаемых, на проведение горных работ при строительстве и (или) эксплуатации подземных сооружений, не связанных с добычей полезных ископаемых, – в случае выдачи заключения промышленной безопасности в отношении </w:t>
            </w:r>
            <w:r>
              <w:lastRenderedPageBreak/>
              <w:t>экспертизы проектной документации</w:t>
            </w:r>
            <w:proofErr w:type="gramEnd"/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629" w:rsidRDefault="00040629" w:rsidP="00DC16F2">
            <w:pPr>
              <w:pStyle w:val="table10"/>
              <w:spacing w:before="120"/>
            </w:pPr>
            <w:r>
              <w:lastRenderedPageBreak/>
              <w:t>10 рабочих дней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629" w:rsidRDefault="00040629" w:rsidP="00E71254">
            <w:pPr>
              <w:pStyle w:val="table10"/>
              <w:spacing w:before="120"/>
              <w:ind w:right="4"/>
            </w:pPr>
            <w:proofErr w:type="gramStart"/>
            <w:r>
              <w:t>в отношении опасного производственного объекта – 10 лет</w:t>
            </w:r>
            <w:r>
              <w:br/>
            </w:r>
            <w:r>
              <w:br/>
              <w:t xml:space="preserve">в отношении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 – </w:t>
            </w:r>
            <w:r w:rsidR="000A58DC" w:rsidRPr="00F03FCD">
              <w:rPr>
                <w:spacing w:val="-8"/>
              </w:rPr>
              <w:t>не более расчетного (установленного) срока службы</w:t>
            </w:r>
            <w:r>
              <w:br/>
            </w:r>
            <w:r>
              <w:br/>
              <w:t>в отношении декларации промышленной безопасности – на срок действия декларации</w:t>
            </w:r>
            <w:r>
              <w:br/>
            </w:r>
            <w:r>
              <w:br/>
              <w:t>в отношении проектной документации – на срок эксплуатации объекта</w:t>
            </w:r>
            <w:proofErr w:type="gramEnd"/>
          </w:p>
        </w:tc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0629" w:rsidRDefault="00040629" w:rsidP="00E71254">
            <w:pPr>
              <w:pStyle w:val="table10"/>
              <w:spacing w:before="120"/>
              <w:ind w:left="279"/>
            </w:pPr>
            <w:r>
              <w:t>бесплатно</w:t>
            </w:r>
          </w:p>
        </w:tc>
      </w:tr>
      <w:tr w:rsidR="000A5B6E" w:rsidTr="00C253A0">
        <w:trPr>
          <w:trHeight w:val="240"/>
        </w:trPr>
        <w:tc>
          <w:tcPr>
            <w:tcW w:w="706" w:type="pct"/>
            <w:hideMark/>
          </w:tcPr>
          <w:p w:rsidR="000A5B6E" w:rsidRDefault="000A5B6E" w:rsidP="00C111EB">
            <w:pPr>
              <w:pStyle w:val="table10"/>
              <w:spacing w:before="120"/>
              <w:ind w:right="158"/>
            </w:pPr>
            <w:r>
              <w:lastRenderedPageBreak/>
              <w:t xml:space="preserve">3.20. Выдача заключения о соответствии объекта строительства утвержденной проектной документации, </w:t>
            </w:r>
            <w:r>
              <w:lastRenderedPageBreak/>
              <w:t>требованиям безопасности и эксплуатационной надежности</w:t>
            </w:r>
          </w:p>
        </w:tc>
        <w:tc>
          <w:tcPr>
            <w:tcW w:w="737" w:type="pct"/>
            <w:hideMark/>
          </w:tcPr>
          <w:p w:rsidR="000A5B6E" w:rsidRDefault="000A5B6E" w:rsidP="00DC16F2">
            <w:pPr>
              <w:pStyle w:val="table10"/>
              <w:spacing w:before="120"/>
            </w:pPr>
            <w:r>
              <w:lastRenderedPageBreak/>
              <w:t>Госпромнадзор</w:t>
            </w:r>
            <w:r>
              <w:br/>
            </w:r>
            <w:r>
              <w:br/>
              <w:t xml:space="preserve">управление государственного надзора главной военной инспекции Вооруженных Сил – в отношении </w:t>
            </w:r>
            <w:r>
              <w:lastRenderedPageBreak/>
              <w:t>потенциально опасных объектов, производств и связанных с ними видов деятельности, имеющих специфику военного применения, перечень которых утверждается Советом Министров Республики Беларусь</w:t>
            </w:r>
          </w:p>
        </w:tc>
        <w:tc>
          <w:tcPr>
            <w:tcW w:w="874" w:type="pct"/>
            <w:hideMark/>
          </w:tcPr>
          <w:p w:rsidR="000A5B6E" w:rsidRDefault="000A5B6E" w:rsidP="00E71254">
            <w:pPr>
              <w:pStyle w:val="table10"/>
              <w:spacing w:before="120"/>
              <w:ind w:left="144"/>
            </w:pPr>
            <w:r>
              <w:lastRenderedPageBreak/>
              <w:t>заявление с указанием сведений о наличии заключения о результатах обследования, выданного Госпромнадзором</w:t>
            </w:r>
            <w:r>
              <w:br/>
            </w:r>
            <w:r>
              <w:br/>
              <w:t xml:space="preserve">отчет о положительных </w:t>
            </w:r>
            <w:r>
              <w:lastRenderedPageBreak/>
              <w:t>результатах пусконаладочных работ (для объектов, требующих проведения пусконаладочных работ)</w:t>
            </w:r>
          </w:p>
        </w:tc>
        <w:tc>
          <w:tcPr>
            <w:tcW w:w="613" w:type="pct"/>
            <w:hideMark/>
          </w:tcPr>
          <w:p w:rsidR="000A5B6E" w:rsidRDefault="000A5B6E" w:rsidP="00DC16F2">
            <w:pPr>
              <w:pStyle w:val="table10"/>
              <w:spacing w:before="120"/>
            </w:pPr>
            <w:r>
              <w:lastRenderedPageBreak/>
              <w:t>5 рабочих дней</w:t>
            </w:r>
          </w:p>
        </w:tc>
        <w:tc>
          <w:tcPr>
            <w:tcW w:w="874" w:type="pct"/>
            <w:hideMark/>
          </w:tcPr>
          <w:p w:rsidR="000A5B6E" w:rsidRDefault="000A5B6E" w:rsidP="00E71254">
            <w:pPr>
              <w:pStyle w:val="table10"/>
              <w:spacing w:before="120"/>
              <w:ind w:right="4"/>
            </w:pPr>
            <w:r>
              <w:t xml:space="preserve">не </w:t>
            </w:r>
            <w:proofErr w:type="gramStart"/>
            <w:r>
              <w:t>более расчетного</w:t>
            </w:r>
            <w:proofErr w:type="gramEnd"/>
            <w:r>
              <w:t xml:space="preserve"> срока службы объекта</w:t>
            </w:r>
          </w:p>
        </w:tc>
        <w:tc>
          <w:tcPr>
            <w:tcW w:w="1196" w:type="pct"/>
            <w:hideMark/>
          </w:tcPr>
          <w:p w:rsidR="000A5B6E" w:rsidRDefault="000A5B6E" w:rsidP="00E71254">
            <w:pPr>
              <w:pStyle w:val="table10"/>
              <w:spacing w:before="120"/>
              <w:ind w:left="279"/>
            </w:pPr>
            <w:r>
              <w:t>бесплатно</w:t>
            </w:r>
          </w:p>
        </w:tc>
      </w:tr>
    </w:tbl>
    <w:tbl>
      <w:tblPr>
        <w:tblW w:w="4742" w:type="pct"/>
        <w:tblInd w:w="-136" w:type="dxa"/>
        <w:tblLayout w:type="fixed"/>
        <w:tblLook w:val="04A0" w:firstRow="1" w:lastRow="0" w:firstColumn="1" w:lastColumn="0" w:noHBand="0" w:noVBand="1"/>
      </w:tblPr>
      <w:tblGrid>
        <w:gridCol w:w="135"/>
        <w:gridCol w:w="1845"/>
        <w:gridCol w:w="353"/>
        <w:gridCol w:w="136"/>
        <w:gridCol w:w="2212"/>
        <w:gridCol w:w="136"/>
        <w:gridCol w:w="2701"/>
        <w:gridCol w:w="136"/>
        <w:gridCol w:w="1849"/>
        <w:gridCol w:w="136"/>
        <w:gridCol w:w="422"/>
        <w:gridCol w:w="2421"/>
        <w:gridCol w:w="136"/>
        <w:gridCol w:w="1990"/>
        <w:gridCol w:w="136"/>
      </w:tblGrid>
      <w:tr w:rsidR="00120144" w:rsidTr="0067437D">
        <w:trPr>
          <w:gridBefore w:val="2"/>
          <w:gridAfter w:val="4"/>
          <w:wBefore w:w="672" w:type="pct"/>
          <w:wAfter w:w="1587" w:type="pct"/>
          <w:trHeight w:val="57"/>
        </w:trPr>
        <w:tc>
          <w:tcPr>
            <w:tcW w:w="274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144" w:rsidRDefault="00120144" w:rsidP="00B97F73">
            <w:pPr>
              <w:pStyle w:val="table10"/>
              <w:spacing w:before="120" w:line="57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20</w:t>
            </w:r>
            <w:r>
              <w:rPr>
                <w:lang w:eastAsia="en-US"/>
              </w:rPr>
              <w:br/>
              <w:t>ПОЖАРНАЯ, ПРОМЫШЛЕННАЯ, ЯДЕРНАЯ И РАДИАЦИОННАЯ БЕЗОПАСНОСТЬ</w:t>
            </w:r>
          </w:p>
        </w:tc>
      </w:tr>
      <w:tr w:rsidR="00E71254" w:rsidTr="0067437D">
        <w:trPr>
          <w:gridBefore w:val="1"/>
          <w:wBefore w:w="46" w:type="pct"/>
          <w:trHeight w:val="57"/>
        </w:trPr>
        <w:tc>
          <w:tcPr>
            <w:tcW w:w="7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222996">
            <w:pPr>
              <w:pStyle w:val="table10"/>
              <w:spacing w:before="120" w:line="57" w:lineRule="atLeast"/>
              <w:ind w:right="194"/>
            </w:pPr>
            <w:r>
              <w:t xml:space="preserve">20.1. </w:t>
            </w:r>
            <w:proofErr w:type="gramStart"/>
            <w:r>
              <w:t xml:space="preserve">Выдача (продление срока действия, внесение изменений и (или) дополнений, выдача дубликата) разрешения (свидетельства) на право: </w:t>
            </w:r>
            <w:proofErr w:type="gramEnd"/>
          </w:p>
        </w:tc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E71254">
            <w:pPr>
              <w:pStyle w:val="table10"/>
              <w:spacing w:before="120" w:line="57" w:lineRule="atLeast"/>
              <w:ind w:right="135"/>
            </w:pPr>
            <w:r>
              <w:t> </w:t>
            </w:r>
          </w:p>
        </w:tc>
        <w:tc>
          <w:tcPr>
            <w:tcW w:w="9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Before w:val="1"/>
          <w:wBefore w:w="46" w:type="pct"/>
          <w:trHeight w:val="57"/>
        </w:trPr>
        <w:tc>
          <w:tcPr>
            <w:tcW w:w="7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222996">
            <w:pPr>
              <w:pStyle w:val="table10"/>
              <w:spacing w:before="120" w:line="57" w:lineRule="atLeast"/>
              <w:ind w:right="194"/>
            </w:pPr>
            <w:proofErr w:type="gramStart"/>
            <w:r>
              <w:t xml:space="preserve">20.1.1. изготовления конкретных моделей (типов) потенциально опасных объектов и технических устройств, эксплуатируемых (применяемых) на потенциально опасных объектах, подлежащих государственному надзору (надзору) в области промышленной безопасности, объектов перевозки опасных грузов (специализированных транспортных средств, цистерн и сосудов под давлением), за исключением потенциально опасных объектов и технических устройств, </w:t>
            </w:r>
            <w:r>
              <w:lastRenderedPageBreak/>
              <w:t>эксплуатируемых на потенциально опасных объектах, объектов перевозки опасных грузов, в отношении которых вступили в силу</w:t>
            </w:r>
            <w:proofErr w:type="gramEnd"/>
            <w:r>
              <w:t xml:space="preserve"> </w:t>
            </w:r>
            <w:proofErr w:type="gramStart"/>
            <w:r>
              <w:t>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которых они подлежат (кроме изготавливаемых для внутреннего пользования без выпуска их в обращение на территории Евразийского экономического союза, ввозимых (ввезенных) в единичных экземплярах, предусмотренных одним внешнеторговым договором исключительно для собственного пользования организацией)</w:t>
            </w:r>
            <w:proofErr w:type="gramEnd"/>
          </w:p>
        </w:tc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E71254">
            <w:pPr>
              <w:pStyle w:val="table10"/>
              <w:spacing w:before="120" w:line="57" w:lineRule="atLeast"/>
              <w:ind w:right="135"/>
            </w:pPr>
            <w:r>
              <w:lastRenderedPageBreak/>
              <w:t>Госпромнадзор</w:t>
            </w:r>
            <w:r>
              <w:br/>
            </w:r>
            <w:r>
              <w:br/>
              <w:t>главная военная инспекция Вооруженных Сил – в отношении принадлежащих Вооруженным Силам и транспортным войскам объектов</w:t>
            </w:r>
          </w:p>
        </w:tc>
        <w:tc>
          <w:tcPr>
            <w:tcW w:w="9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E71254">
            <w:pPr>
              <w:pStyle w:val="table10"/>
              <w:spacing w:before="120" w:line="57" w:lineRule="atLeast"/>
              <w:ind w:right="137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3E7" w:rsidRDefault="00CA23E7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1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20.1.2. постоянного применения взрывчатых веществ и изделий на их основе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 xml:space="preserve">для внесения изменений – заявление с приложением копий документов, подтверждающих необходимость внесения </w:t>
            </w:r>
            <w:r>
              <w:lastRenderedPageBreak/>
              <w:t>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 xml:space="preserve">20.1.3. осуществления ремонта, технического диагностирования потенциально опасных объектов, технических устройств, принадлежащих Вооруженным Силам и транспортным войскам 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главная военная инспекция Вооруженных Сил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 xml:space="preserve">20.1.4. изготовления для эксплуатации (применения) или эксплуатации (применения) в Республике Беларусь импортных потенциально опасных объектов и технических устройств, эксплуатируемых на потенциально опасных объектах, объектов перевозки опасных грузов (импортных специализированных транспортных средств, цистерн и сосудов под давлением), подлежащих государственному надзору в области промышленной </w:t>
            </w:r>
            <w:r>
              <w:lastRenderedPageBreak/>
              <w:t>безопасности, за исключением технических устройств, применяемых на потенциально опасных объектах, объектов перевозки опасных грузов, в отношении которых вступили</w:t>
            </w:r>
            <w:proofErr w:type="gramEnd"/>
            <w:r>
              <w:t xml:space="preserve">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которых они подлежат (</w:t>
            </w:r>
            <w:proofErr w:type="gramStart"/>
            <w:r>
              <w:t>кроме</w:t>
            </w:r>
            <w:proofErr w:type="gramEnd"/>
            <w:r>
              <w:t xml:space="preserve"> ввозимых (ввезенных) в единичных экземплярах, предусмотренных одним внешнеторговым договором исключительно для собственного пользования организацией)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0E65A1" w:rsidRDefault="000E65A1" w:rsidP="000E65A1">
            <w:pPr>
              <w:pStyle w:val="table10"/>
              <w:spacing w:before="120" w:line="57" w:lineRule="atLeast"/>
            </w:pPr>
            <w:r>
              <w:t>для разрешения на право изготовления для эксплуатации (применения) – 5 лет</w:t>
            </w:r>
          </w:p>
          <w:p w:rsidR="00971CFE" w:rsidRDefault="000E65A1" w:rsidP="000E65A1">
            <w:pPr>
              <w:pStyle w:val="table10"/>
              <w:spacing w:before="120" w:line="57" w:lineRule="atLeast"/>
            </w:pPr>
            <w:r>
              <w:t xml:space="preserve">для разрешения на право эксплуатации (применения) – не </w:t>
            </w:r>
            <w:proofErr w:type="gramStart"/>
            <w:r>
              <w:t>более расчетного</w:t>
            </w:r>
            <w:proofErr w:type="gramEnd"/>
            <w:r>
              <w:t xml:space="preserve"> (установленного) ср</w:t>
            </w:r>
            <w:bookmarkStart w:id="0" w:name="_GoBack"/>
            <w:bookmarkEnd w:id="0"/>
            <w:r>
              <w:t>ока службы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 xml:space="preserve">20.1.5. проведения экспертизы промышленной безопасности 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 xml:space="preserve">для получения дубликата – </w:t>
            </w:r>
            <w:r>
              <w:lastRenderedPageBreak/>
              <w:t>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20.1.6. проведения проверки знаний лиц,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(или) потенциально опасных объектах, подлежащих государственному надзору в области промышленной безопасности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справка о наличии в организации 100 и более специалистов соответствующего профиля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20.1.7. проведения технических освидетельствований находящихся в эксплуатации аттракционов, строительных грузопассажирских подъемников, грузоподъемных кранов, лифтов, сосудов, работающих под давлением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  <w:r>
              <w:br/>
            </w:r>
            <w:r>
              <w:br/>
              <w:t>главная военная инспекция Вооруженных Сил – в отношении принадлежащих Вооруженным Силам и транспортным войскам объектов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20.1.8. создания </w:t>
            </w:r>
            <w:r>
              <w:lastRenderedPageBreak/>
              <w:t>комиссий по аттестации сварщиков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для получения, продления </w:t>
            </w:r>
            <w:r>
              <w:lastRenderedPageBreak/>
              <w:t>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20.1.9. приобретения промышленных взрывчатых веществ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6 месяцев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20.1.10. реализации пиротехнических изделий технического назначения IV и V классов опасности согласно техническому регламенту Таможенного союза «О безопасности пиротехнических изделий» (</w:t>
            </w:r>
            <w:proofErr w:type="gramStart"/>
            <w:r>
              <w:t>ТР</w:t>
            </w:r>
            <w:proofErr w:type="gramEnd"/>
            <w:r>
              <w:t xml:space="preserve"> ТС 006/2011)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6 месяцев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20.1.11. ведения горных работ при строительстве метрополитенов и (или) сооружения горизонтальных горных выработок способом продавливания, прокола и бурения диаметром от </w:t>
            </w:r>
            <w:r>
              <w:lastRenderedPageBreak/>
              <w:t>1200 миллиметров и более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 xml:space="preserve">для внесения изменений – заявление с приложением копий документов, </w:t>
            </w:r>
            <w:r>
              <w:lastRenderedPageBreak/>
              <w:t>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20.1.12. бурения скважин для добычи твердых, жидких и газообразных полезных ископаемых глубиной более 20 метров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20.1.13. ведения маркшейдерских работ организациям, не осуществляющим добычу полезных ископаемых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20.1.14. разработки проектов технологических процессов и производств, где </w:t>
            </w:r>
            <w:r>
              <w:lastRenderedPageBreak/>
              <w:t>возможно образование взрывоопасных сред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</w:r>
            <w:r>
              <w:lastRenderedPageBreak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20.1.15. разработки декларации промышленной безопасности опасных производственных объектов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  <w:r>
              <w:br/>
            </w:r>
            <w:r>
              <w:br/>
              <w:t>главная военная инспекция Вооруженных Сил – в отношении принадлежащих Вооруженным Силам и транспортным войскам объектов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20.1.16. проведения фейерверков с использованием пиротехнических изделий IV и V классов опасности согласно техническому регламенту Таможенного союза «О безопасности пиротехнических изделий» (</w:t>
            </w:r>
            <w:proofErr w:type="gramStart"/>
            <w:r>
              <w:t>ТР</w:t>
            </w:r>
            <w:proofErr w:type="gramEnd"/>
            <w:r>
              <w:t xml:space="preserve"> ТС 006/2011)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 xml:space="preserve">копия договора добровольного страхования гражданской ответственности и расходов организаций, создающих повышенную опасность для окружающих, или договора добровольного страхования гражданской ответственности и расходов за вред, причиненный вследствие недостатков товара (страхование безопасности товаров), </w:t>
            </w:r>
            <w:r>
              <w:lastRenderedPageBreak/>
              <w:t>заключенного в порядке, установленном законодательством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</w:t>
            </w:r>
            <w:proofErr w:type="gramEnd"/>
            <w:r>
              <w:t xml:space="preserve">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20.1.17. эксплуатации мест хранения промышленных взрывчатых веществ и (или) пиротехнических изделий, подлежащих государственному надзору в области промышленной безопасности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для получения, продления срока действия, внесения дополнений – заявление по установленной форме</w:t>
            </w:r>
            <w:r>
              <w:br/>
            </w:r>
            <w:r>
              <w:br/>
              <w:t>копия договора добровольного страхования гражданской ответственности и расходов организаций, создающих повышенную опасность для окружающих, или договора добровольного страхования гражданской ответственности и расходов за вред, причиненный вследствие недостатков товара (страхование безопасности товаров), заключенного в порядке, установленном законодательством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</w:r>
            <w:r>
              <w:lastRenderedPageBreak/>
              <w:t>для</w:t>
            </w:r>
            <w:proofErr w:type="gramEnd"/>
            <w:r>
              <w:t xml:space="preserve">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 при эксплуатации постоянного или временного склада</w:t>
            </w:r>
            <w:r>
              <w:br/>
            </w:r>
            <w:r>
              <w:br/>
              <w:t>до 1 года – при эксплуатации кратковременного склада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20.1.18. проведения подготовки и переподготовки лиц, занятых перевозкой опасных грузов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  <w:r>
              <w:br/>
            </w:r>
            <w:r>
              <w:br/>
              <w:t>главная военная инспекция Вооруженных Сил (для подготовки и переподготовки лиц, занятых перевозкой опасных грузов, принадлежащих Вооруженным Силам и транспортным войскам)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с указанием сведений о наличии акта оценки, выданного Госпромнадзором или управлением государственного надзора главной военной инспекции Вооруженных Сил – в отношении принадлежащих Вооруженным Силам и транспортным войскам объектов</w:t>
            </w:r>
            <w:r>
              <w:br/>
            </w:r>
            <w:r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20.1.19. проведения технического диагностирования цистерн, емкостей, предназначенных для перевозки опасных грузов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главная военная инспекция Вооруженных Сил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для получения, продления срока действия, внесения дополнений – заявление с указанием сведений о наличии акта оценки, выданного управлением государственного надзора главной военной инспекции Вооруженных Сил</w:t>
            </w:r>
            <w:r>
              <w:br/>
            </w:r>
            <w:r>
              <w:br/>
              <w:t>копия аттестата аккредитации собственной лаборатории разрушающих и неразрушающих методов контроля</w:t>
            </w:r>
            <w:r>
              <w:br/>
              <w:t>металла и сварных соединений</w:t>
            </w:r>
            <w:r>
              <w:br/>
            </w:r>
            <w:r>
              <w:lastRenderedPageBreak/>
              <w:br/>
              <w:t>для внесения изменений – заявление с приложением копий документов, подтверждающих необходимость внесения изменений</w:t>
            </w:r>
            <w:r>
              <w:br/>
            </w:r>
            <w:r>
              <w:br/>
              <w:t>для получения дубликата – заявление в произвольной форме</w:t>
            </w:r>
            <w:proofErr w:type="gramEnd"/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 xml:space="preserve">20.2. Проведение аттестации и выдача (внесение изменений, выдача дубликата) удостоверения эксперта в области промышленной безопасности 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/>
            </w:pPr>
            <w:r>
              <w:t>для получения:</w:t>
            </w:r>
          </w:p>
          <w:p w:rsidR="00971CFE" w:rsidRDefault="00971CFE" w:rsidP="00DC16F2">
            <w:pPr>
              <w:pStyle w:val="table10"/>
              <w:spacing w:before="120"/>
              <w:ind w:left="284"/>
            </w:pPr>
            <w:proofErr w:type="gramStart"/>
            <w:r>
              <w:t>заявление по установленной форме</w:t>
            </w:r>
            <w:r>
              <w:br/>
            </w:r>
            <w:r>
              <w:br/>
              <w:t>две фотографии размером 30 x 40 миллиметров</w:t>
            </w:r>
            <w:r>
              <w:br/>
            </w:r>
            <w:r>
              <w:br/>
              <w:t>копии диплома о высшем образовании, свидетельства о повышении квалификации претендента в заявляемой области аттестации</w:t>
            </w:r>
            <w:r>
              <w:br/>
            </w:r>
            <w:r>
              <w:br/>
              <w:t>копия трудовой книжки</w:t>
            </w:r>
            <w:r>
              <w:br/>
            </w:r>
            <w:r>
              <w:br/>
              <w:t>копия сертификата компетентности по визуальному методу неразрушающего контроля не ниже второго уровня квалификации в производственном секторе – контроль оборудования, машин и сооружений перед и в процессе эксплуатации (для аттестуемых на проведение технического освидетельствования</w:t>
            </w:r>
            <w:proofErr w:type="gramEnd"/>
            <w:r>
              <w:t>)</w:t>
            </w:r>
            <w:r>
              <w:br/>
            </w:r>
            <w:r>
              <w:br/>
              <w:t xml:space="preserve">копии документов, </w:t>
            </w:r>
            <w:r>
              <w:lastRenderedPageBreak/>
              <w:t>подтверждающих прохождение стажировки (актов экспертизы и (или) донесений)</w:t>
            </w:r>
          </w:p>
          <w:p w:rsidR="00971CFE" w:rsidRDefault="00971CFE" w:rsidP="00DC16F2">
            <w:pPr>
              <w:pStyle w:val="table10"/>
              <w:spacing w:before="120"/>
            </w:pPr>
            <w:r>
              <w:t>для получения дубликата:</w:t>
            </w:r>
          </w:p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в произвольной форме</w:t>
            </w:r>
            <w:r>
              <w:br/>
            </w:r>
            <w:r>
              <w:br/>
              <w:t>одна фотография размером 30 x 40 миллиметров</w:t>
            </w:r>
            <w:r>
              <w:br/>
            </w:r>
            <w:r>
              <w:br/>
              <w:t>для внесения изменений:</w:t>
            </w:r>
            <w:r>
              <w:br/>
            </w:r>
            <w:r>
              <w:br/>
              <w:t>заявление в произвольной форме</w:t>
            </w:r>
            <w:r>
              <w:br/>
            </w:r>
            <w:r>
              <w:br/>
              <w:t>копии документов, подтверждающих необходимость внесения изменений</w:t>
            </w:r>
            <w:r>
              <w:br/>
            </w:r>
            <w:r>
              <w:br/>
              <w:t>одна фотография размером 30 x 40 миллиметров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 месяц</w:t>
            </w:r>
            <w:r>
              <w:br/>
            </w:r>
            <w:r>
              <w:br/>
              <w:t>выдача дубликата (внесение изменений) удостоверения эксперта в области промышленной безопасности – 10 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лет</w:t>
            </w:r>
            <w:r>
              <w:br/>
            </w:r>
            <w:r>
              <w:br/>
              <w:t xml:space="preserve">для дубликата удостоверения эксперта – на срок действия выданного удостоверения 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 базовая величина</w:t>
            </w:r>
            <w:r>
              <w:br/>
            </w:r>
            <w:r>
              <w:br/>
              <w:t xml:space="preserve">выдача дубликата (внесение изменений) удостоверения эксперта в области промышленной безопасности – бесплатно 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20.3.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20.4.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20.5.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20.6. </w:t>
            </w:r>
            <w:proofErr w:type="gramStart"/>
            <w:r>
              <w:t>Выдача:</w:t>
            </w:r>
            <w:r>
              <w:br/>
            </w:r>
            <w:r>
              <w:br/>
              <w:t xml:space="preserve">20.6.1. разрешения на ввоз и (или) вывоз промышленных взрывчатых веществ, взрывных устройств и средств взрывания, пиротехнических изделий, ограниченных к перемещению через Государственную границу Республики Беларусь при ввозе и (или) вывозе по </w:t>
            </w:r>
            <w:r>
              <w:lastRenderedPageBreak/>
              <w:t>основаниям неэкономического характера</w:t>
            </w:r>
            <w:r>
              <w:br/>
            </w:r>
            <w:r>
              <w:br/>
              <w:t>20.6.2. заключения (разрешительного документа) на ввоз, вывоз и транзит отдельных товаров, указанных в разделе 2.13 Единого перечня товаров, к которым применяются запреты или ограничения на</w:t>
            </w:r>
            <w:proofErr w:type="gramEnd"/>
            <w:r>
              <w:t xml:space="preserve"> ввоз или вывоз государствами – членами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 xml:space="preserve">Госпромнадзор 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/>
            </w:pPr>
            <w:r>
              <w:t>заявление по установленной форме</w:t>
            </w:r>
            <w:r>
              <w:br/>
            </w:r>
            <w:r>
              <w:br/>
              <w:t>договор (контракт) между грузоотправителем, грузополучателем и грузоперевозчиком (при необходимости)</w:t>
            </w:r>
            <w:r>
              <w:br/>
            </w:r>
            <w:r>
              <w:br/>
              <w:t xml:space="preserve">документы, подтверждающие соблюдение условий безопасной транспортировки товаров, если товары классифицированы в соответствии с </w:t>
            </w:r>
            <w:r>
              <w:lastRenderedPageBreak/>
              <w:t>законодательством как опасные грузы:</w:t>
            </w:r>
          </w:p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копия сертификата опасного вещества</w:t>
            </w:r>
            <w:r>
              <w:br/>
            </w:r>
            <w:r>
              <w:br/>
              <w:t>копия аварийной карточки системы информации об опасности перевозимого опасного вещества (для автомобильного транспорта)</w:t>
            </w:r>
            <w:r>
              <w:br/>
            </w:r>
            <w:r>
              <w:br/>
              <w:t>копия свидетельства о допуске транспортных средств к перевозке определенных опасных грузов (для автомобильного транспорта)</w:t>
            </w:r>
            <w:r>
              <w:br/>
            </w:r>
            <w:r>
              <w:br/>
              <w:t>копии документов, подтверждающих обеспечение сопровождения и (или) охраны перевозимых взрывчатых материалов военизированной охраной, либо копия договора об охране этих грузов Департаментом охраны МВД (для автомобильного транспорта)</w:t>
            </w:r>
            <w:r>
              <w:br/>
            </w:r>
            <w:r>
              <w:br/>
              <w:t>копии свидетельств о</w:t>
            </w:r>
            <w:proofErr w:type="gramEnd"/>
            <w:r>
              <w:t xml:space="preserve"> </w:t>
            </w:r>
            <w:proofErr w:type="gramStart"/>
            <w:r>
              <w:t>прохождении</w:t>
            </w:r>
            <w:proofErr w:type="gramEnd"/>
            <w:r>
              <w:t xml:space="preserve"> подготовки персоналом по перевозке опасных грузов (за исключением персонала железнодорожного транспорта)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10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на одно перемещение соответствующих товаров через таможенную границу либо несколько перемещений на срок, достаточный для осуществления их ввоза и (или) вывоза, но не более 1 года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20.7.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20.8.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20.9.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20.10.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20.11. 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20.12.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20.13.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20.13</w:t>
            </w:r>
            <w:r>
              <w:rPr>
                <w:vertAlign w:val="superscript"/>
              </w:rPr>
              <w:t>1</w:t>
            </w:r>
            <w:r>
              <w:t xml:space="preserve">. Выдача свидетельства (дубликата свидетельства) о подготовке работника субъекта перевозки опасных грузов, занятого перевозкой опасных грузов (далее в настоящем пункте – свидетельство о подготовке) 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/>
            </w:pPr>
            <w:r>
              <w:t>для получения свидетельства о подготовке:</w:t>
            </w:r>
          </w:p>
          <w:p w:rsidR="00971CFE" w:rsidRDefault="00971CFE" w:rsidP="00DC16F2">
            <w:pPr>
              <w:pStyle w:val="table10"/>
              <w:spacing w:before="120" w:after="60"/>
              <w:ind w:left="284"/>
            </w:pPr>
            <w:proofErr w:type="gramStart"/>
            <w:r>
              <w:t>заявление по установленной форме</w:t>
            </w:r>
            <w:r>
              <w:br/>
            </w:r>
            <w:r>
              <w:br/>
              <w:t>документ, подтверждающий обучение по программе подготовки работников субъектов перевозки, связанных с перевозкой опасных грузов соответствующим видом транспорта</w:t>
            </w:r>
            <w:r>
              <w:br/>
            </w:r>
            <w:r>
              <w:br/>
              <w:t>фотография размером 30 х 40 мм – для получения свидетельства о подготовке водителя механического транспортного средства</w:t>
            </w:r>
            <w:r>
              <w:br/>
            </w:r>
            <w:r>
              <w:br/>
              <w:t>свидетельство о подготовке (при наличии)</w:t>
            </w:r>
            <w:r>
              <w:br/>
            </w:r>
            <w:r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  <w:proofErr w:type="gramEnd"/>
          </w:p>
          <w:p w:rsidR="00971CFE" w:rsidRDefault="00971CFE" w:rsidP="00DC16F2">
            <w:pPr>
              <w:pStyle w:val="table10"/>
              <w:spacing w:before="120" w:after="60"/>
            </w:pPr>
            <w:r>
              <w:t>для получения дубликата свидетельства о подготовке:</w:t>
            </w:r>
          </w:p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заявление</w:t>
            </w:r>
            <w:proofErr w:type="gramEnd"/>
            <w:r>
              <w:t xml:space="preserve"> в произвольной форме</w:t>
            </w:r>
            <w:r>
              <w:br/>
            </w:r>
            <w:r>
              <w:br/>
              <w:t>пришедшее в негодность свидетельство о подготовке (при наличии)</w:t>
            </w:r>
            <w:r>
              <w:br/>
            </w:r>
            <w:r>
              <w:br/>
            </w:r>
            <w:r>
              <w:lastRenderedPageBreak/>
              <w:t>фотография размером 30 х 40 мм – для получения дубликата свидетельства о подготовке водителя механического транспортного средства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5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/>
            </w:pPr>
            <w:r>
              <w:t>для свидетельств о подготовке водителя механического транспортного средства, о подготовке работника, ответственного за перевозку опасных грузов автомобильным транспортом, о подготовке работника, занятого перевозкой опасных грузов внутренним водным транспортом, о подготовке работника, ответственного за перевозку опасных грузов железнодорожным транспортом, – 5 лет</w:t>
            </w:r>
          </w:p>
          <w:p w:rsidR="00971CFE" w:rsidRDefault="00971CFE" w:rsidP="00DC16F2">
            <w:pPr>
              <w:pStyle w:val="table10"/>
            </w:pPr>
            <w:r>
              <w:br/>
              <w:t>для свидетельства о подготовке работника, занятого перевозкой опасных грузов воздушным транспортом, – 2 года</w:t>
            </w:r>
          </w:p>
          <w:p w:rsidR="00971CFE" w:rsidRDefault="00971CFE" w:rsidP="00DC16F2">
            <w:pPr>
              <w:pStyle w:val="table10"/>
              <w:spacing w:before="120" w:line="57" w:lineRule="atLeast"/>
            </w:pPr>
            <w:r>
              <w:br/>
              <w:t>для дубликата свидетельства о подготовке – срок действия выданного свидетельства о подготовке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плата за услуги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20.14.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20.15. 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20.16. </w:t>
            </w:r>
            <w:proofErr w:type="gramStart"/>
            <w:r>
              <w:t>Регистрация в государственном реестре опасных производственных объектов с выдачей свидетельства о регистрации опасного производственного объекта, внесение изменений и (или) дополнений в него, внесение изменений в сведения, содержащиеся в государственном реестре опасных производственных объектов, исключение сведений об опасных производственных объектах из государственного реестра опасных производственных объектов, выдача дубликата свидетельства о регистрации опасного производственного объекта</w:t>
            </w:r>
            <w:proofErr w:type="gramEnd"/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Госпромнадзор</w:t>
            </w:r>
            <w:r>
              <w:br/>
            </w:r>
            <w:r>
              <w:br/>
              <w:t>МВД – в отношении принадлежащих органам внутренних дел и внутренним войскам МВД объектов</w:t>
            </w:r>
            <w:r>
              <w:br/>
            </w:r>
            <w:r>
              <w:br/>
              <w:t>управление государственного надзора главной военной инспекции Вооруженных Сил – в отношении принадлежащих Вооруженным Силам и транспортным войскам объектов</w:t>
            </w:r>
            <w:r>
              <w:br/>
            </w:r>
            <w:r>
              <w:br/>
              <w:t>КГБ – в отношении принадлежащих органам государственной безопасности объектов</w:t>
            </w:r>
            <w:r>
              <w:br/>
            </w:r>
            <w:r>
              <w:br/>
            </w:r>
            <w:proofErr w:type="spellStart"/>
            <w:r>
              <w:t>Госпогранкомитет</w:t>
            </w:r>
            <w:proofErr w:type="spellEnd"/>
            <w:r>
              <w:t> – в отношении принадлежащих органам пограничной службы объектов</w:t>
            </w:r>
            <w:r>
              <w:br/>
            </w:r>
            <w:r>
              <w:br/>
              <w:t xml:space="preserve">Государственный </w:t>
            </w:r>
            <w:r>
              <w:lastRenderedPageBreak/>
              <w:t>комитет судебных экспертиз – в отношении принадлежащих Государственному комитету судебных экспертиз объектов</w:t>
            </w:r>
            <w:proofErr w:type="gramEnd"/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/>
            </w:pPr>
            <w:r>
              <w:lastRenderedPageBreak/>
              <w:t>для регистрации:</w:t>
            </w:r>
          </w:p>
          <w:p w:rsidR="00971CFE" w:rsidRDefault="00971CFE" w:rsidP="00DC16F2">
            <w:pPr>
              <w:pStyle w:val="table10"/>
              <w:spacing w:before="120"/>
              <w:ind w:left="284"/>
            </w:pPr>
            <w:r>
              <w:t>заявление по установленной форме</w:t>
            </w:r>
            <w:r>
              <w:br/>
            </w:r>
            <w:r>
              <w:br/>
              <w:t>карта учета объекта в двух экземплярах</w:t>
            </w:r>
            <w:r>
              <w:br/>
            </w:r>
            <w:r>
              <w:br/>
              <w:t>заключение по результатам проведения идентификации объекта</w:t>
            </w:r>
          </w:p>
          <w:p w:rsidR="00971CFE" w:rsidRDefault="00971CFE" w:rsidP="00DC16F2">
            <w:pPr>
              <w:pStyle w:val="table10"/>
              <w:spacing w:before="120"/>
            </w:pPr>
            <w:r>
              <w:t>для внесения дополнений в свидетельство о регистрации опасного производственного объекта:</w:t>
            </w:r>
          </w:p>
          <w:p w:rsidR="00971CFE" w:rsidRDefault="00971CFE" w:rsidP="00DC16F2">
            <w:pPr>
              <w:pStyle w:val="table10"/>
              <w:spacing w:before="120"/>
              <w:ind w:left="284"/>
            </w:pPr>
            <w:r>
              <w:t>заявление по установленной форме</w:t>
            </w:r>
            <w:r>
              <w:br/>
            </w:r>
            <w:r>
              <w:br/>
              <w:t>карта учета объекта в двух экземплярах</w:t>
            </w:r>
            <w:r>
              <w:br/>
            </w:r>
            <w:r>
              <w:br/>
              <w:t>заключение по результатам проведения идентификации объекта</w:t>
            </w:r>
            <w:r>
              <w:br/>
            </w:r>
            <w:r>
              <w:br/>
              <w:t>оригинал свидетельства о регистрации опасного производственного объекта</w:t>
            </w:r>
          </w:p>
          <w:p w:rsidR="00971CFE" w:rsidRDefault="00971CFE" w:rsidP="00DC16F2">
            <w:pPr>
              <w:pStyle w:val="table10"/>
              <w:spacing w:before="120"/>
            </w:pPr>
            <w:r>
              <w:t xml:space="preserve">для внесения изменений в </w:t>
            </w:r>
            <w:r>
              <w:lastRenderedPageBreak/>
              <w:t>свидетельство о регистрации опасного производственного объекта, внесения изменений в сведения:</w:t>
            </w:r>
          </w:p>
          <w:p w:rsidR="00971CFE" w:rsidRDefault="00971CFE" w:rsidP="00DC16F2">
            <w:pPr>
              <w:pStyle w:val="table10"/>
              <w:spacing w:before="120"/>
              <w:ind w:left="284"/>
            </w:pPr>
            <w:proofErr w:type="gramStart"/>
            <w:r>
              <w:t>заявление по установленной форме</w:t>
            </w:r>
            <w:r>
              <w:br/>
            </w:r>
            <w:r>
              <w:br/>
              <w:t>оригинал свидетельства о регистрации опасного производственного объекта (при наличии) и карта учета объекта</w:t>
            </w:r>
            <w:r>
              <w:br/>
            </w:r>
            <w:r>
              <w:br/>
              <w:t>карта учета объекта (с внесенными изменениями)</w:t>
            </w:r>
            <w:r>
              <w:br/>
            </w:r>
            <w:r>
              <w:br/>
              <w:t>заверенные руководителем организации копии документов, подтверждающих произошедшие изменения (в том числе факт передачи объекта на правах аренды или другом вещном праве)</w:t>
            </w:r>
            <w:proofErr w:type="gramEnd"/>
          </w:p>
          <w:p w:rsidR="00971CFE" w:rsidRDefault="00971CFE" w:rsidP="00DC16F2">
            <w:pPr>
              <w:pStyle w:val="table10"/>
              <w:spacing w:before="120"/>
            </w:pPr>
            <w:r>
              <w:t>для исключения сведений:</w:t>
            </w:r>
          </w:p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  <w:r>
              <w:br/>
            </w:r>
            <w:r>
              <w:br/>
              <w:t>карта учета объекта</w:t>
            </w:r>
            <w:r>
              <w:br/>
            </w:r>
            <w:r>
              <w:br/>
              <w:t>оригинал свидетельства о регистрации опасного производственного объекта</w:t>
            </w:r>
            <w:r>
              <w:br/>
            </w:r>
            <w:r>
              <w:br/>
              <w:t>заверенные руководителем организации копии документов, подтверждающих необходимость исключения сведений</w:t>
            </w:r>
            <w:r>
              <w:br/>
            </w:r>
            <w:r>
              <w:br/>
            </w:r>
            <w:r>
              <w:lastRenderedPageBreak/>
              <w:t>для выдачи дубликата – заявление в произвольной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7 рабочих дней</w:t>
            </w:r>
            <w:r>
              <w:br/>
            </w:r>
            <w:r>
              <w:br/>
              <w:t>для выдачи дубликата – 3 рабочих дня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до выдачи нового свидетельства либо исключения объекта из государственного реестра опасных производственных объектов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20.17. Регистрация (перерегистрация) объектов строительства опасных производственных объектов, потенциально опасных объектов, подлежащих государственному надзору (надзору) в области промышленной безопасности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Госпромнадзор</w:t>
            </w:r>
            <w:r>
              <w:br/>
            </w:r>
            <w:r>
              <w:br/>
              <w:t>главная военная инспекция Вооруженных Сил – в отношении принадлежащих Вооруженным Силам и транспортным войскам объектов</w:t>
            </w:r>
            <w:r>
              <w:br/>
            </w:r>
            <w:r>
              <w:br/>
              <w:t>МВД – в отношении принадлежащих органам внутренних дел и внутренним войскам МВД объектов</w:t>
            </w:r>
            <w:r>
              <w:br/>
            </w:r>
            <w:r>
              <w:br/>
              <w:t>КГБ – в отношении принадлежащих органам государственной безопасности объектов</w:t>
            </w:r>
            <w:r>
              <w:br/>
            </w:r>
            <w:r>
              <w:br/>
            </w:r>
            <w:proofErr w:type="spellStart"/>
            <w:r>
              <w:t>Госпогранкомитет</w:t>
            </w:r>
            <w:proofErr w:type="spellEnd"/>
            <w:r>
              <w:t> – в отношении принадлежащих органам пограничной службы объектов</w:t>
            </w:r>
            <w:r>
              <w:br/>
            </w:r>
            <w:r>
              <w:br/>
              <w:t>Государственный комитет судебных экспертиз – в отношении принадлежащих Государственному комитету судебных экспертиз объектов</w:t>
            </w:r>
            <w:proofErr w:type="gramEnd"/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с указанием сведений о наличии специальных разрешений (лицензий) на деятельность в области промышленной безопасности у строительной и проектной организаций</w:t>
            </w:r>
            <w:r>
              <w:br/>
            </w:r>
            <w:r>
              <w:br/>
              <w:t>проектная документация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br/>
            </w:r>
            <w:r>
              <w:br/>
              <w:t>заключение государственной экспертизы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в день обращения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 года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20.18. Регистрация (внесение изменений в документы, связанные с регистрацией) </w:t>
            </w:r>
            <w:r>
              <w:lastRenderedPageBreak/>
              <w:t>потенциально опасных объектов: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5 рабочих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до списания и демонтажа оборудования, транспортных средств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lastRenderedPageBreak/>
              <w:t>20.18.1. паровые котлы, котлы, работающие с высокотемпературными органическими (неорганическими) теплоносителями (</w:t>
            </w:r>
            <w:proofErr w:type="spellStart"/>
            <w:r>
              <w:t>термомасляные</w:t>
            </w:r>
            <w:proofErr w:type="spellEnd"/>
            <w:r>
              <w:t xml:space="preserve"> котлы), энерготехнологические и электродные котлы, автономные пароперегреватели и экономайзеры, котлы-утилизаторы с рабочим давлением более 0,07 МПа, водогрейные котлы, котлы-утилизаторы, автономные экономайзеры с температурой воды выше 115 °C, паровые котлы, переведенные в водогрейный режим, передвижные транспортабельные котельные установки, трубопроводы пара и горячей воды I категории с номинальным диаметром более 70</w:t>
            </w:r>
            <w:proofErr w:type="gramEnd"/>
            <w:r>
              <w:t> миллиметров, II и III категории с номинальным диаметром более 100 миллиметров, сосуды, работающие под давлением воды с температурой выше 115 </w:t>
            </w:r>
            <w:proofErr w:type="spellStart"/>
            <w:r>
              <w:rPr>
                <w:vertAlign w:val="superscript"/>
              </w:rPr>
              <w:t>о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, другой жидкости, </w:t>
            </w:r>
            <w:r>
              <w:lastRenderedPageBreak/>
              <w:t xml:space="preserve">превышающей температуру кипения при давлении 0,07 МПа, сосуды, включая баллоны емкостью более 100 литров, работающие под давлением пара (газа) более 0,07 МПа, цистерны для транспортирования и хранения сжатых и сжиженных газов, давление паров которых при температуре до 50 </w:t>
            </w:r>
            <w:proofErr w:type="spellStart"/>
            <w:r>
              <w:rPr>
                <w:vertAlign w:val="superscript"/>
              </w:rPr>
              <w:t>о</w:t>
            </w:r>
            <w:proofErr w:type="gramStart"/>
            <w:r>
              <w:t>C</w:t>
            </w:r>
            <w:proofErr w:type="spellEnd"/>
            <w:proofErr w:type="gramEnd"/>
            <w:r>
              <w:t xml:space="preserve"> превышает давление 0,07 МПа, барокамеры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lastRenderedPageBreak/>
              <w:t>Госпромнадзор</w:t>
            </w:r>
            <w:r>
              <w:br/>
            </w:r>
            <w:r>
              <w:br/>
              <w:t>Минобороны – в отношении принадлежащих Вооруженным Силам и транспортным войскам объектов</w:t>
            </w:r>
            <w:r>
              <w:br/>
            </w:r>
            <w:r>
              <w:br/>
              <w:t>МВД – в отношении принадлежащих органам внутренних дел и внутренним войскам МВД объектов</w:t>
            </w:r>
            <w:r>
              <w:br/>
            </w:r>
            <w:r>
              <w:br/>
              <w:t>КГБ – в отношении принадлежащих органам государственной безопасности объектов</w:t>
            </w:r>
            <w:r>
              <w:br/>
            </w:r>
            <w:r>
              <w:br/>
            </w:r>
            <w:proofErr w:type="spellStart"/>
            <w:r>
              <w:t>Госпогранкомитет</w:t>
            </w:r>
            <w:proofErr w:type="spellEnd"/>
            <w:r>
              <w:t> – в отношении принадлежащих органам пограничной службы объектов</w:t>
            </w:r>
            <w:r>
              <w:br/>
            </w:r>
            <w:r>
              <w:br/>
              <w:t>Государственный комитет судебных экспертиз – в отношении принадлежащих Государственному комитету судебных экспертиз объектов</w:t>
            </w:r>
            <w:proofErr w:type="gramEnd"/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паспорт технического устройства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br/>
            </w:r>
            <w:r>
              <w:br/>
              <w:t>удостоверение о качестве монтажа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схема включения технического устройства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паспорт предохранительного устройства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копии документов, подтверждающих соответствие технических устройств требованиям нормативных правовых актов, в том числе технических нормативных правовых актов, в области промышленной безопасности</w:t>
            </w:r>
            <w:r>
              <w:br/>
            </w:r>
            <w:r>
              <w:br/>
              <w:t>руководство по эксплуатации</w:t>
            </w:r>
            <w:r>
              <w:br/>
            </w:r>
            <w:r>
              <w:br/>
              <w:t xml:space="preserve">для потенциально опасных объектов, работающих под давлением,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</w:t>
            </w:r>
            <w:proofErr w:type="gramStart"/>
            <w:r>
              <w:t>требованиям</w:t>
            </w:r>
            <w:proofErr w:type="gramEnd"/>
            <w:r>
              <w:t xml:space="preserve"> которых они подлежат, – копии документов об оценке (подтверждении) соответствия требованиям технических регламентов Таможенного союза и (или) </w:t>
            </w:r>
            <w:r>
              <w:lastRenderedPageBreak/>
              <w:t>Евразийского экономического союза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20.18.2. подъемные сооружения и аттракционы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Госпромнадзор</w:t>
            </w:r>
            <w:r>
              <w:br/>
            </w:r>
            <w:r>
              <w:br/>
              <w:t>Минобороны – в отношении принадлежащих Вооруженным Силам и транспортным войскам объектов</w:t>
            </w:r>
            <w:r>
              <w:br/>
            </w:r>
            <w:r>
              <w:br/>
              <w:t>МВД – в отношении принадлежащих органам внутренних дел и внутренним войскам МВД объектов</w:t>
            </w:r>
            <w:r>
              <w:br/>
            </w:r>
            <w:r>
              <w:br/>
              <w:t>КГБ – в отношении принадлежащих органам государственной безопасности объектов</w:t>
            </w:r>
            <w:r>
              <w:br/>
            </w:r>
            <w:r>
              <w:br/>
            </w:r>
            <w:proofErr w:type="spellStart"/>
            <w:r>
              <w:t>Госпогранкомитет</w:t>
            </w:r>
            <w:proofErr w:type="spellEnd"/>
            <w:r>
              <w:t> – в отношении принадлежащих органам пограничной службы объектов</w:t>
            </w:r>
            <w:r>
              <w:br/>
            </w:r>
            <w:r>
              <w:br/>
            </w:r>
            <w:r>
              <w:lastRenderedPageBreak/>
              <w:t>Государственный комитет судебных экспертиз – в отношении принадлежащих Государственному комитету судебных экспертиз объектов</w:t>
            </w:r>
            <w:proofErr w:type="gramEnd"/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</w:pPr>
            <w:r>
              <w:lastRenderedPageBreak/>
              <w:t>паспорт (формуляр) подъемного сооружения, аттракциона, соответствующий требованиям технических нормативных правовых актов в области промышленной безопасности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  <w:p w:rsidR="00971CFE" w:rsidRDefault="00971CFE" w:rsidP="00DC16F2">
            <w:pPr>
              <w:pStyle w:val="table10"/>
            </w:pPr>
            <w:r>
              <w:br/>
              <w:t>при регистрации кранов, установленных на шасси автомобильного типа, – заявление владельца в Государственную автомобильную инспекцию МВД об их регистрации</w:t>
            </w:r>
          </w:p>
          <w:p w:rsidR="00971CFE" w:rsidRDefault="00971CFE" w:rsidP="00DC16F2">
            <w:pPr>
              <w:pStyle w:val="table10"/>
              <w:spacing w:before="120" w:line="57" w:lineRule="atLeast"/>
            </w:pPr>
            <w:r>
              <w:br/>
            </w:r>
            <w:proofErr w:type="gramStart"/>
            <w:r>
              <w:t xml:space="preserve">для подъемных сооружений и аттракционов,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</w:t>
            </w:r>
            <w:r>
              <w:lastRenderedPageBreak/>
              <w:t>требованиям которых они подлежат, – копии документов об оценке (подтверждении) соответствия требованиям технических регламентов Таможенного союза и (или) Евразийского экономического союза</w:t>
            </w:r>
            <w:proofErr w:type="gramEnd"/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20.18.3. котельные, в том числе передвижные транспортабельные, мощностью более 200 кВт независимо от мощности установленных в них котлов, использующие газообразное, жидкое и твердое виды топлива, и (или) единичной мощностью 100 кВт и более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Госпромнадзор</w:t>
            </w:r>
            <w:r>
              <w:br/>
            </w:r>
            <w:r>
              <w:br/>
              <w:t>Минобороны – в отношении принадлежащих Вооруженным Силам и транспортным войскам объектов</w:t>
            </w:r>
            <w:r>
              <w:br/>
            </w:r>
            <w:r>
              <w:br/>
              <w:t>МВД – в отношении принадлежащих органам внутренних дел и внутренним войскам МВД объектов</w:t>
            </w:r>
            <w:r>
              <w:br/>
            </w:r>
            <w:r>
              <w:br/>
              <w:t>КГБ – в отношении принадлежащих органам государственной безопасности объектов</w:t>
            </w:r>
            <w:r>
              <w:br/>
            </w:r>
            <w:r>
              <w:br/>
            </w:r>
            <w:proofErr w:type="spellStart"/>
            <w:r>
              <w:t>Госпогранкомитет</w:t>
            </w:r>
            <w:proofErr w:type="spellEnd"/>
            <w:r>
              <w:t> – в отношении принадлежащих органам пограничной службы объектов</w:t>
            </w:r>
            <w:r>
              <w:br/>
            </w:r>
            <w:r>
              <w:br/>
              <w:t>Государственный комитет судебных экспертиз – в отношении принадлежащих Государственному комитету судебных экспертиз объектов</w:t>
            </w:r>
            <w:proofErr w:type="gramEnd"/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паспорт котельной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br/>
            </w:r>
            <w:r>
              <w:br/>
              <w:t>паспорта котлов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акт об исправности котла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акт приемки-сдачи котла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паспорт горелочного устройства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паспорт предохранительного устройства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удостоверение о качестве монтажа котлов (котельной)</w:t>
            </w:r>
            <w:r>
              <w:rPr>
                <w:vertAlign w:val="superscript"/>
              </w:rPr>
              <w:t xml:space="preserve"> 6</w:t>
            </w:r>
            <w:r>
              <w:br/>
            </w:r>
            <w:r>
              <w:br/>
              <w:t>подтверждение органа технического надзора о качестве монтажа котлов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компоновочные чертежи котельной (план, разрезы)</w:t>
            </w:r>
            <w:r>
              <w:rPr>
                <w:vertAlign w:val="superscript"/>
              </w:rPr>
              <w:t xml:space="preserve"> 6</w:t>
            </w:r>
            <w:r>
              <w:br/>
            </w:r>
            <w:r>
              <w:br/>
              <w:t>принципиальная тепловая схема котельной с указанием котлов, трубопроводов, запорной арматуры контрольно-измерительных приборов, насосов и вспомогательного оборудования</w:t>
            </w:r>
            <w:r>
              <w:rPr>
                <w:vertAlign w:val="superscript"/>
              </w:rPr>
              <w:t>6</w:t>
            </w:r>
            <w:r>
              <w:br/>
            </w:r>
            <w:r>
              <w:br/>
              <w:t>руководство организации-</w:t>
            </w:r>
            <w:r>
              <w:lastRenderedPageBreak/>
              <w:t>изготовителя по монтажу и эксплуатации котла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br/>
            </w:r>
            <w:r>
              <w:br/>
              <w:t>сведения о наличии разрешения на право применения котла иностранного производства в Республике Беларусь (указываются в заявлении)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20.18.4. механические транспортные средства, прицепы или полуприцепы к ним, используемые при перевозке опасных грузов (далее в настоящем подпункте – транспортные средства), в том числе снятие их с учета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  <w:r>
              <w:br/>
            </w:r>
            <w:r>
              <w:br/>
              <w:t>регистрирующие подразделения Министерства обороны, Государственного пограничного комитета, Министерства внутренних дел, Комитета государственной безопасности (далее в настоящем подпункте – государственные органы)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(называются в заявлении)</w:t>
            </w:r>
            <w:r>
              <w:br/>
            </w:r>
            <w:r>
              <w:br/>
              <w:t>для регистрации транспортного средства, внесения изменений в документы, связанные с регистрацией транспортных средств:</w:t>
            </w:r>
            <w:r>
              <w:br/>
            </w:r>
            <w:r>
              <w:br/>
              <w:t>сведения о прохождении государственного технического осмотра (указываются в заявлении)</w:t>
            </w:r>
            <w:r>
              <w:br/>
            </w:r>
            <w:r>
              <w:br/>
              <w:t>эксплуатационные документы (паспорт, руководство по эксплуатации, формуляр или их дубликаты) – для стационарно установленных цистерн, клетей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br/>
            </w:r>
            <w:r>
              <w:br/>
              <w:t xml:space="preserve">сведения о наличии разрешения на право применения специализированного транспортного средства иностранного производства в </w:t>
            </w:r>
            <w:r>
              <w:lastRenderedPageBreak/>
              <w:t>Республике Беларусь (указываются в заявлении)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20.18.5. аммиачно-холодильные установки с содержанием аммиака от 1000 до 3000 килограммов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 xml:space="preserve">20.18.6. 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 с нижним концентрационным пределом </w:t>
            </w:r>
            <w:proofErr w:type="spellStart"/>
            <w:r>
              <w:t>взрываемости</w:t>
            </w:r>
            <w:proofErr w:type="spellEnd"/>
            <w:r>
              <w:t xml:space="preserve"> ниже 65 граммов на куб. метр, способные самовозгораться от</w:t>
            </w:r>
            <w:proofErr w:type="gramEnd"/>
            <w:r>
              <w:t xml:space="preserve"> источника зажигания и самостоятельно гореть после его удаления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заявление по установленной форме 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20.18.7. объекты и производства с химическими, физико-химическими, физическими </w:t>
            </w:r>
            <w:r>
              <w:lastRenderedPageBreak/>
              <w:t>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20.18.8. подземные горные выработки, в которых оборудованы спелеолечебницы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20.18.9. карьеры, разрезы по добыче полезных ископаемых с проектным объемом добычи по горной массе от 100 тыс. куб. метров до 300 тыс. куб. метров в год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20.18.10. цехи, участки, в состав которых входят разведочные и эксплуатационные буровые скважины в части выбросов добываемых нефти, природного газа с содержанием сернистого водорода до 2 процентов объема добываемых нефти, природного газа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20.18.11. литейное производство с применением оборудования, рассчитанного на максимальное количество расплава 0,5 тонны и более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20.18.12. объекты взрывных работ и утилизации боеприпасов, на которых проводятся испытания промышленных взрывчатых веществ и пиротехнических изделий (лаборатории и полигоны)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20.18.13. газопроводы и газовое оборудование промышленных, сельскохозяйственных организаций, организаций бытового обслуживания населения непроизводственного характера, административных и общественных зданий с единичной мощностью менее 100 кВт или суммарной мощностью до 200 кВт, за исключением жилищного фонда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20.19.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20.20.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20.21.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736815">
            <w:pPr>
              <w:pStyle w:val="table10"/>
              <w:spacing w:before="120"/>
            </w:pPr>
            <w:r>
              <w:t xml:space="preserve">20.22. </w:t>
            </w:r>
            <w:r w:rsidR="00093487">
              <w:t>Согласова</w:t>
            </w:r>
            <w:r w:rsidR="00093487" w:rsidRPr="00093487">
              <w:t xml:space="preserve">ние ежегодного плана развития горных работ (за исключением </w:t>
            </w:r>
            <w:proofErr w:type="gramStart"/>
            <w:r w:rsidR="00093487" w:rsidRPr="00093487">
              <w:t>до-</w:t>
            </w:r>
            <w:proofErr w:type="spellStart"/>
            <w:r w:rsidR="00093487" w:rsidRPr="00093487">
              <w:t>бычи</w:t>
            </w:r>
            <w:proofErr w:type="spellEnd"/>
            <w:proofErr w:type="gramEnd"/>
            <w:r w:rsidR="00093487" w:rsidRPr="00093487">
              <w:t xml:space="preserve"> подземных вод) при добыче полезных ис</w:t>
            </w:r>
            <w:r w:rsidR="00093487">
              <w:t>копа</w:t>
            </w:r>
            <w:r w:rsidR="00093487" w:rsidRPr="00093487">
              <w:t>емых подземным способом</w:t>
            </w:r>
            <w:r>
              <w:t xml:space="preserve"> 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736815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093487" w:rsidRDefault="00093487" w:rsidP="00736815">
            <w:pPr>
              <w:pStyle w:val="table10"/>
              <w:spacing w:before="120"/>
            </w:pPr>
            <w:r>
              <w:t>заявление с указанием сведений о наличии акта о</w:t>
            </w:r>
            <w:r w:rsidR="00D36969">
              <w:t xml:space="preserve">ценки, выданного </w:t>
            </w:r>
            <w:proofErr w:type="spellStart"/>
            <w:r w:rsidR="00D36969">
              <w:t>Гос-промнадзо</w:t>
            </w:r>
            <w:r>
              <w:t>ром</w:t>
            </w:r>
            <w:proofErr w:type="spellEnd"/>
          </w:p>
          <w:p w:rsidR="00093487" w:rsidRDefault="00093487" w:rsidP="00736815">
            <w:pPr>
              <w:pStyle w:val="table10"/>
            </w:pPr>
          </w:p>
          <w:p w:rsidR="00971CFE" w:rsidRDefault="00093487" w:rsidP="00736815">
            <w:pPr>
              <w:pStyle w:val="table10"/>
            </w:pPr>
            <w:r>
              <w:t>ежегодный план развития горных работ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736815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736815">
            <w:pPr>
              <w:pStyle w:val="table10"/>
              <w:spacing w:before="120"/>
            </w:pPr>
            <w:r>
              <w:t>в течение 1 года, на который составлен план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736815">
            <w:pPr>
              <w:pStyle w:val="table10"/>
              <w:spacing w:before="120"/>
            </w:pPr>
            <w:r>
              <w:t> </w:t>
            </w:r>
            <w:r w:rsidR="00093487"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20.23. Согласование результатов и области распространения производственной аттестации (квалификации) технологии сварки и установление срока действия результатов и области распространения аттестации (квалификации) технологии сварки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proofErr w:type="gramStart"/>
            <w:r>
              <w:t>заявление по установленной форме</w:t>
            </w:r>
            <w:r>
              <w:br/>
            </w:r>
            <w:r>
              <w:br/>
              <w:t>отчеты о квалификации технологии сварки, согласованные с головной организацией по сварке</w:t>
            </w:r>
            <w:r>
              <w:br/>
            </w:r>
            <w:r>
              <w:br/>
              <w:t>инструкции по сварке, протоколы, заключения по неразрушающим и разрушающим методам контроля сварных соединений и контрольных образцов</w:t>
            </w:r>
            <w:r>
              <w:br/>
            </w:r>
            <w:r>
              <w:br/>
              <w:t>перечень оборудования организации, используемого при квалификации технологии сварки</w:t>
            </w:r>
            <w:r>
              <w:br/>
            </w:r>
            <w:r>
              <w:br/>
              <w:t>копии аттестационных удостоверений сварщиков и руководителей сварочных работ</w:t>
            </w:r>
            <w:proofErr w:type="gramEnd"/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15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до 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20.24. Согласование: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заявление по установленной форме</w:t>
            </w:r>
            <w:r>
              <w:br/>
            </w:r>
            <w:r>
              <w:br/>
              <w:t>документация, подлежащая рассмотрению и согласованию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10 дней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до 5 лет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20.24.1. порядка разработки технологических регламентов сильвинитовых обогатительных фабрик, закачки промышленных отходов в глубинные горизонты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Госпромнадзор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плата за услуги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 xml:space="preserve">20.24.2. отступлений от требований норм и правил в области </w:t>
            </w:r>
            <w:r>
              <w:lastRenderedPageBreak/>
              <w:t>обеспечения промышленной безопасности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Госпромнадзор</w:t>
            </w:r>
            <w:r>
              <w:br/>
            </w:r>
            <w:r>
              <w:br/>
              <w:t xml:space="preserve">главная военная </w:t>
            </w:r>
            <w:r>
              <w:lastRenderedPageBreak/>
              <w:t>инспекция (для поднадзорных объектов)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 xml:space="preserve">документы, подтверждающие необходимость и обоснованность отступлений </w:t>
            </w:r>
            <w:r>
              <w:lastRenderedPageBreak/>
              <w:t xml:space="preserve">(расчеты, результаты испытаний, заключения специализированных организаций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lastRenderedPageBreak/>
              <w:t xml:space="preserve">20.24.3. проекта консервации, </w:t>
            </w:r>
            <w:proofErr w:type="spellStart"/>
            <w:r>
              <w:t>расконсервации</w:t>
            </w:r>
            <w:proofErr w:type="spellEnd"/>
            <w:r>
              <w:t xml:space="preserve">, ликвидации, </w:t>
            </w:r>
            <w:r w:rsidR="006D4EFC" w:rsidRPr="006D4EFC">
              <w:t>изменений в проект консервации</w:t>
            </w:r>
            <w:r>
              <w:t xml:space="preserve"> горных предприятий, горных выработок, подземных сооружений, не связанных с добычей полезных ископаемых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6D4EFC">
            <w:pPr>
              <w:pStyle w:val="table10"/>
              <w:spacing w:before="120" w:line="57" w:lineRule="atLeast"/>
            </w:pPr>
            <w:r>
              <w:t>Госпромнадзор</w:t>
            </w:r>
            <w:r>
              <w:br/>
            </w:r>
            <w:r>
              <w:br/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E56866">
            <w:pPr>
              <w:pStyle w:val="table10"/>
              <w:spacing w:before="120" w:line="57" w:lineRule="atLeast"/>
            </w:pPr>
            <w:r>
              <w:t>плата за услуги</w:t>
            </w:r>
            <w:r>
              <w:br/>
            </w:r>
            <w:r>
              <w:br/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20.24.4. индивидуальной программы технического диагностирования технических устройств, оборудования, транспортных средств, цистерн, тары, упаковки, предназначенных для перевозки опасных грузов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главная военная инспекция (для поднадзорных объектов)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бесплатно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20.24.5. 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20.24.6. 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20.25.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20.41.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20.42.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  <w:tr w:rsidR="00E71254" w:rsidTr="0067437D">
        <w:trPr>
          <w:gridAfter w:val="1"/>
          <w:wAfter w:w="46" w:type="pct"/>
          <w:trHeight w:val="57"/>
        </w:trPr>
        <w:tc>
          <w:tcPr>
            <w:tcW w:w="792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20.43. Исключен</w:t>
            </w:r>
          </w:p>
        </w:tc>
        <w:tc>
          <w:tcPr>
            <w:tcW w:w="796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962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673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1010" w:type="pct"/>
            <w:gridSpan w:val="3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  <w:tc>
          <w:tcPr>
            <w:tcW w:w="721" w:type="pct"/>
            <w:gridSpan w:val="2"/>
            <w:hideMark/>
          </w:tcPr>
          <w:p w:rsidR="00971CFE" w:rsidRDefault="00971CFE" w:rsidP="00DC16F2">
            <w:pPr>
              <w:pStyle w:val="table10"/>
              <w:spacing w:before="120" w:line="57" w:lineRule="atLeast"/>
            </w:pPr>
            <w:r>
              <w:t> </w:t>
            </w:r>
          </w:p>
        </w:tc>
      </w:tr>
    </w:tbl>
    <w:p w:rsidR="00367E04" w:rsidRDefault="00367E04"/>
    <w:sectPr w:rsidR="00367E04" w:rsidSect="00A83535">
      <w:pgSz w:w="16838" w:h="11906" w:orient="landscape"/>
      <w:pgMar w:top="851" w:right="62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4E"/>
    <w:rsid w:val="00040629"/>
    <w:rsid w:val="00093487"/>
    <w:rsid w:val="000A58DC"/>
    <w:rsid w:val="000A5B6E"/>
    <w:rsid w:val="000E65A1"/>
    <w:rsid w:val="00120144"/>
    <w:rsid w:val="001D2F26"/>
    <w:rsid w:val="00222996"/>
    <w:rsid w:val="002960C2"/>
    <w:rsid w:val="00367E04"/>
    <w:rsid w:val="005E4EA9"/>
    <w:rsid w:val="0067437D"/>
    <w:rsid w:val="00696501"/>
    <w:rsid w:val="006D4EFC"/>
    <w:rsid w:val="00736815"/>
    <w:rsid w:val="00937AD9"/>
    <w:rsid w:val="00971CFE"/>
    <w:rsid w:val="009B2337"/>
    <w:rsid w:val="00A44B7D"/>
    <w:rsid w:val="00A83535"/>
    <w:rsid w:val="00B5104E"/>
    <w:rsid w:val="00C00F4F"/>
    <w:rsid w:val="00C111EB"/>
    <w:rsid w:val="00C253A0"/>
    <w:rsid w:val="00CA23E7"/>
    <w:rsid w:val="00D36969"/>
    <w:rsid w:val="00E56866"/>
    <w:rsid w:val="00E71254"/>
    <w:rsid w:val="00E943B6"/>
    <w:rsid w:val="00E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835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rsid w:val="00A835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4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 Знак Знак Знак"/>
    <w:basedOn w:val="a"/>
    <w:autoRedefine/>
    <w:rsid w:val="000A58DC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835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rsid w:val="00A835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4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 Знак Знак Знак"/>
    <w:basedOn w:val="a"/>
    <w:autoRedefine/>
    <w:rsid w:val="000A58DC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29</cp:revision>
  <dcterms:created xsi:type="dcterms:W3CDTF">2016-08-23T11:09:00Z</dcterms:created>
  <dcterms:modified xsi:type="dcterms:W3CDTF">2017-02-06T07:33:00Z</dcterms:modified>
</cp:coreProperties>
</file>